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06" w:rsidRDefault="00DE6C0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6C06" w:rsidRDefault="00DE6C06">
      <w:pPr>
        <w:pStyle w:val="ConsPlusNormal"/>
        <w:jc w:val="both"/>
        <w:outlineLvl w:val="0"/>
      </w:pPr>
    </w:p>
    <w:p w:rsidR="00DE6C06" w:rsidRDefault="00DE6C06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</w:t>
      </w:r>
    </w:p>
    <w:p w:rsidR="00DE6C06" w:rsidRDefault="00DE6C06">
      <w:pPr>
        <w:pStyle w:val="ConsPlusNormal"/>
        <w:jc w:val="right"/>
      </w:pPr>
      <w:r>
        <w:t>Постановлением Государственного</w:t>
      </w:r>
    </w:p>
    <w:p w:rsidR="00DE6C06" w:rsidRDefault="00DE6C06">
      <w:pPr>
        <w:pStyle w:val="ConsPlusNormal"/>
        <w:jc w:val="right"/>
      </w:pPr>
      <w:r>
        <w:t>комитета СССР по управлению</w:t>
      </w:r>
    </w:p>
    <w:p w:rsidR="00DE6C06" w:rsidRDefault="00DE6C06">
      <w:pPr>
        <w:pStyle w:val="ConsPlusNormal"/>
        <w:jc w:val="right"/>
      </w:pPr>
      <w:r>
        <w:t>качеством продукции и стандартам</w:t>
      </w:r>
    </w:p>
    <w:p w:rsidR="00DE6C06" w:rsidRDefault="00DE6C06">
      <w:pPr>
        <w:pStyle w:val="ConsPlusNormal"/>
        <w:jc w:val="right"/>
      </w:pPr>
      <w:r>
        <w:t>от 28 сентября 1990 г. N 2585</w:t>
      </w:r>
    </w:p>
    <w:p w:rsidR="00DE6C06" w:rsidRDefault="00DE6C06">
      <w:pPr>
        <w:pStyle w:val="ConsPlusNormal"/>
        <w:jc w:val="right"/>
      </w:pPr>
    </w:p>
    <w:p w:rsidR="00DE6C06" w:rsidRDefault="00DE6C06">
      <w:pPr>
        <w:pStyle w:val="ConsPlusTitle"/>
        <w:jc w:val="center"/>
      </w:pPr>
      <w:r>
        <w:t>ГОСУДАРСТВЕННЫЙ СТАНДАРТ СОЮЗА ССР</w:t>
      </w:r>
    </w:p>
    <w:p w:rsidR="00DE6C06" w:rsidRDefault="00DE6C06">
      <w:pPr>
        <w:pStyle w:val="ConsPlusTitle"/>
        <w:jc w:val="center"/>
      </w:pPr>
    </w:p>
    <w:p w:rsidR="00DE6C06" w:rsidRDefault="00DE6C06">
      <w:pPr>
        <w:pStyle w:val="ConsPlusTitle"/>
        <w:jc w:val="center"/>
      </w:pPr>
      <w:r>
        <w:t>ЗЕРНО</w:t>
      </w:r>
    </w:p>
    <w:p w:rsidR="00DE6C06" w:rsidRDefault="00DE6C06">
      <w:pPr>
        <w:pStyle w:val="ConsPlusTitle"/>
        <w:jc w:val="center"/>
      </w:pPr>
    </w:p>
    <w:p w:rsidR="00DE6C06" w:rsidRDefault="00DE6C06">
      <w:pPr>
        <w:pStyle w:val="ConsPlusTitle"/>
        <w:jc w:val="center"/>
      </w:pPr>
      <w:r>
        <w:t>МЕТОДЫ ОПРЕДЕЛЕНИЯ ЗАПАХА И ЦВЕТА</w:t>
      </w:r>
    </w:p>
    <w:p w:rsidR="00DE6C06" w:rsidRDefault="00DE6C06">
      <w:pPr>
        <w:pStyle w:val="ConsPlusTitle"/>
        <w:jc w:val="center"/>
      </w:pPr>
    </w:p>
    <w:p w:rsidR="00DE6C06" w:rsidRPr="00DE6C06" w:rsidRDefault="00DE6C06">
      <w:pPr>
        <w:pStyle w:val="ConsPlusTitle"/>
        <w:jc w:val="center"/>
        <w:rPr>
          <w:lang w:val="en-US"/>
        </w:rPr>
      </w:pPr>
      <w:r w:rsidRPr="00DE6C06">
        <w:rPr>
          <w:lang w:val="en-US"/>
        </w:rPr>
        <w:t xml:space="preserve">Grain. Methods for determination of </w:t>
      </w:r>
      <w:proofErr w:type="spellStart"/>
      <w:r w:rsidRPr="00DE6C06">
        <w:rPr>
          <w:lang w:val="en-US"/>
        </w:rPr>
        <w:t>odour</w:t>
      </w:r>
      <w:proofErr w:type="spellEnd"/>
      <w:r w:rsidRPr="00DE6C06">
        <w:rPr>
          <w:lang w:val="en-US"/>
        </w:rPr>
        <w:t xml:space="preserve"> and </w:t>
      </w:r>
      <w:proofErr w:type="spellStart"/>
      <w:r w:rsidRPr="00DE6C06">
        <w:rPr>
          <w:lang w:val="en-US"/>
        </w:rPr>
        <w:t>colour</w:t>
      </w:r>
      <w:proofErr w:type="spellEnd"/>
    </w:p>
    <w:p w:rsidR="00DE6C06" w:rsidRPr="00DE6C06" w:rsidRDefault="00DE6C06">
      <w:pPr>
        <w:pStyle w:val="ConsPlusTitle"/>
        <w:jc w:val="center"/>
        <w:rPr>
          <w:lang w:val="en-US"/>
        </w:rPr>
      </w:pPr>
    </w:p>
    <w:p w:rsidR="00DE6C06" w:rsidRDefault="00DE6C06">
      <w:pPr>
        <w:pStyle w:val="ConsPlusTitle"/>
        <w:jc w:val="center"/>
      </w:pPr>
      <w:r>
        <w:t>ГОСТ 10967-90</w:t>
      </w:r>
    </w:p>
    <w:p w:rsidR="00DE6C06" w:rsidRDefault="00DE6C06">
      <w:pPr>
        <w:pStyle w:val="ConsPlusNormal"/>
        <w:jc w:val="center"/>
      </w:pPr>
    </w:p>
    <w:p w:rsidR="00DE6C06" w:rsidRDefault="00DE6C06">
      <w:pPr>
        <w:pStyle w:val="ConsPlusNormal"/>
        <w:jc w:val="right"/>
      </w:pPr>
      <w:r>
        <w:t>Группа С19</w:t>
      </w:r>
    </w:p>
    <w:p w:rsidR="00DE6C06" w:rsidRDefault="00DE6C06">
      <w:pPr>
        <w:pStyle w:val="ConsPlusNormal"/>
        <w:jc w:val="right"/>
      </w:pPr>
    </w:p>
    <w:p w:rsidR="00DE6C06" w:rsidRDefault="00DE6C06">
      <w:pPr>
        <w:pStyle w:val="ConsPlusNormal"/>
        <w:jc w:val="right"/>
      </w:pPr>
      <w:r>
        <w:t>ОКСТУ 9709</w:t>
      </w:r>
    </w:p>
    <w:p w:rsidR="00DE6C06" w:rsidRDefault="00DE6C06">
      <w:pPr>
        <w:pStyle w:val="ConsPlusNormal"/>
        <w:jc w:val="right"/>
      </w:pPr>
    </w:p>
    <w:p w:rsidR="00DE6C06" w:rsidRDefault="00DE6C06">
      <w:pPr>
        <w:pStyle w:val="ConsPlusNormal"/>
        <w:jc w:val="right"/>
      </w:pPr>
      <w:r>
        <w:t>Срок действия</w:t>
      </w:r>
    </w:p>
    <w:p w:rsidR="00DE6C06" w:rsidRDefault="00DE6C06">
      <w:pPr>
        <w:pStyle w:val="ConsPlusNormal"/>
        <w:jc w:val="right"/>
      </w:pPr>
      <w:r>
        <w:t>с 1 июля 1991 года</w:t>
      </w:r>
    </w:p>
    <w:p w:rsidR="00DE6C06" w:rsidRDefault="00DE6C06">
      <w:pPr>
        <w:pStyle w:val="ConsPlusNormal"/>
        <w:jc w:val="right"/>
      </w:pPr>
      <w:r>
        <w:t>до 1 июля 1996 года</w:t>
      </w:r>
    </w:p>
    <w:p w:rsidR="00DE6C06" w:rsidRDefault="00DE6C06">
      <w:pPr>
        <w:pStyle w:val="ConsPlusNormal"/>
        <w:jc w:val="right"/>
      </w:pPr>
    </w:p>
    <w:p w:rsidR="00DE6C06" w:rsidRDefault="00DE6C06">
      <w:pPr>
        <w:pStyle w:val="ConsPlusNormal"/>
        <w:jc w:val="center"/>
        <w:outlineLvl w:val="1"/>
      </w:pPr>
      <w:r>
        <w:t>ИНФОРМАЦИОННЫЕ ДАННЫЕ</w:t>
      </w:r>
    </w:p>
    <w:p w:rsidR="00DE6C06" w:rsidRDefault="00DE6C06">
      <w:pPr>
        <w:pStyle w:val="ConsPlusNormal"/>
        <w:jc w:val="center"/>
      </w:pPr>
    </w:p>
    <w:p w:rsidR="00DE6C06" w:rsidRDefault="00DE6C06">
      <w:pPr>
        <w:pStyle w:val="ConsPlusNormal"/>
        <w:ind w:firstLine="540"/>
        <w:jc w:val="both"/>
      </w:pPr>
      <w:r>
        <w:t xml:space="preserve">1. Разработан и </w:t>
      </w:r>
      <w:proofErr w:type="spellStart"/>
      <w:r>
        <w:t>внесен</w:t>
      </w:r>
      <w:proofErr w:type="spellEnd"/>
      <w:r>
        <w:t xml:space="preserve"> Всесоюзным научно-производственным объединением "</w:t>
      </w:r>
      <w:proofErr w:type="spellStart"/>
      <w:r>
        <w:t>Зернопродукт</w:t>
      </w:r>
      <w:proofErr w:type="spellEnd"/>
      <w:r>
        <w:t>".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Разработчики: Г.С. Зелинский, К.А. </w:t>
      </w:r>
      <w:proofErr w:type="spellStart"/>
      <w:r>
        <w:t>Чурусов</w:t>
      </w:r>
      <w:proofErr w:type="spellEnd"/>
      <w:r>
        <w:t xml:space="preserve"> (руководитель темы), А.И. Мартьянова, А.М. </w:t>
      </w:r>
      <w:proofErr w:type="spellStart"/>
      <w:r>
        <w:t>Каменецкая</w:t>
      </w:r>
      <w:proofErr w:type="spellEnd"/>
      <w:r>
        <w:t>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 Постановлением Государственного комитета СССР по управлению качеством продукции и стандартам от 28.09.90 N 2585.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3. Взамен ГОСТ 10967-75.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4. Ссылочные нормативно-технические документы:</w:t>
      </w:r>
    </w:p>
    <w:p w:rsidR="00DE6C06" w:rsidRDefault="00DE6C06">
      <w:pPr>
        <w:sectPr w:rsidR="00DE6C06" w:rsidSect="00670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C06" w:rsidRDefault="00DE6C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5040"/>
      </w:tblGrid>
      <w:tr w:rsidR="00DE6C06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Номер раздела, приложения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</w:tcBorders>
          </w:tcPr>
          <w:p w:rsidR="00DE6C06" w:rsidRDefault="00DE6C06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ГОСТ 13586.3-83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DE6C06" w:rsidRDefault="00DE6C06">
            <w:pPr>
              <w:pStyle w:val="ConsPlusNormal"/>
              <w:ind w:firstLine="283"/>
            </w:pPr>
            <w:hyperlink w:anchor="P42" w:history="1">
              <w:r>
                <w:rPr>
                  <w:color w:val="0000FF"/>
                </w:rPr>
                <w:t>1</w:t>
              </w:r>
            </w:hyperlink>
            <w:r>
              <w:t xml:space="preserve">; </w:t>
            </w:r>
            <w:hyperlink w:anchor="P131" w:history="1">
              <w:r>
                <w:rPr>
                  <w:color w:val="0000FF"/>
                </w:rPr>
                <w:t>Приложение</w:t>
              </w:r>
            </w:hyperlink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4620" w:type="dxa"/>
            <w:tcBorders>
              <w:top w:val="nil"/>
              <w:left w:val="nil"/>
              <w:bottom w:val="nil"/>
            </w:tcBorders>
          </w:tcPr>
          <w:p w:rsidR="00DE6C06" w:rsidRDefault="00DE6C06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25336-82</w:t>
              </w:r>
            </w:hyperlink>
          </w:p>
        </w:tc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DE6C06" w:rsidRDefault="00DE6C06">
            <w:pPr>
              <w:pStyle w:val="ConsPlusNormal"/>
              <w:ind w:firstLine="283"/>
            </w:pPr>
            <w:hyperlink w:anchor="P46" w:history="1">
              <w:r>
                <w:rPr>
                  <w:color w:val="0000FF"/>
                </w:rPr>
                <w:t>2</w:t>
              </w:r>
            </w:hyperlink>
          </w:p>
        </w:tc>
      </w:tr>
    </w:tbl>
    <w:p w:rsidR="00DE6C06" w:rsidRDefault="00DE6C06">
      <w:pPr>
        <w:sectPr w:rsidR="00DE6C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r>
        <w:t>Настоящий стандарт распространяется на зерно зерновых и семена зернобобовых культур, заготовляемые государственной заготовительной системой и поставляемые на продовольственные и кормовые цели, и устанавливает методы определения их запаха и цвета.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center"/>
        <w:outlineLvl w:val="1"/>
      </w:pPr>
      <w:bookmarkStart w:id="0" w:name="P42"/>
      <w:bookmarkEnd w:id="0"/>
      <w:r>
        <w:t>1. ОТБОР ПРОБ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r>
        <w:t xml:space="preserve">Отбор проб - по </w:t>
      </w:r>
      <w:hyperlink r:id="rId7" w:history="1">
        <w:r>
          <w:rPr>
            <w:color w:val="0000FF"/>
          </w:rPr>
          <w:t>ГОСТ 13586.3</w:t>
        </w:r>
      </w:hyperlink>
      <w:r>
        <w:t>.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center"/>
        <w:outlineLvl w:val="1"/>
      </w:pPr>
      <w:bookmarkStart w:id="1" w:name="P46"/>
      <w:bookmarkEnd w:id="1"/>
      <w:r>
        <w:t>2. АППАРАТУРА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r>
        <w:t>Для проведения определения применяют: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мельницу лабораторную;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весы лабораторные общего назначения с допускаемой погрешностью взвешивания +/- 0,1 г;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кассету пластмассовую с крышкой, со </w:t>
      </w:r>
      <w:proofErr w:type="spellStart"/>
      <w:r>
        <w:t>съемной</w:t>
      </w:r>
      <w:proofErr w:type="spellEnd"/>
      <w:r>
        <w:t xml:space="preserve"> чашкой и металлическим экраном (см. </w:t>
      </w:r>
      <w:proofErr w:type="spellStart"/>
      <w:r>
        <w:t>чертеж</w:t>
      </w:r>
      <w:proofErr w:type="spellEnd"/>
      <w:r>
        <w:t>);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банку с крышкой вместимостью 500 см3;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колбы конические со шлифом вместимостью 100 см3 по </w:t>
      </w:r>
      <w:hyperlink r:id="rId8" w:history="1">
        <w:r>
          <w:rPr>
            <w:color w:val="0000FF"/>
          </w:rPr>
          <w:t>ГОСТ 25336</w:t>
        </w:r>
      </w:hyperlink>
      <w:r>
        <w:t>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чашку вместимостью 200 - 250 см3;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чашку Петри;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сито из металлической сетки N 06;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доску разборную;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шпатель;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источник тепла, обеспечивающий нагрев зерна до 40 °C.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center"/>
        <w:outlineLvl w:val="1"/>
      </w:pPr>
      <w:r>
        <w:t>3. ПОДГОТОВКА К ОПРЕДЕЛЕНИЮ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r>
        <w:t>Пробы зерна, имеющего температуру ниже комнатной, выдерживают в помещении до достижения зерном комнатной температуры.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При влажности зерна более 17% пробу подсушивают до влажности 14,5 - 15,0%.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center"/>
        <w:outlineLvl w:val="1"/>
      </w:pPr>
      <w:r>
        <w:t>4. ПРОВЕДЕНИЕ ОПРЕДЕЛЕНИЯ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r>
        <w:t>4.1. Определение запаха</w:t>
      </w:r>
    </w:p>
    <w:p w:rsidR="00DE6C06" w:rsidRDefault="00DE6C06">
      <w:pPr>
        <w:pStyle w:val="ConsPlusNormal"/>
        <w:spacing w:before="220"/>
        <w:ind w:firstLine="540"/>
        <w:jc w:val="both"/>
      </w:pPr>
      <w:bookmarkStart w:id="2" w:name="P69"/>
      <w:bookmarkEnd w:id="2"/>
      <w:r>
        <w:t>4.1.1. Запах определяют в целом или размолотом зерне.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Из средней пробы отбирают навеску зерна массой около 100 г, помещают в чашку и определяют его запах.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4.1.2. При ощущении в зерне средней пробы слабого полынного запаха из этой средней пробы отбирают около 100 г зерна, освобождают его от корзиночек полыни, размалывают на лабораторной мельнице, после чего определяют наличие полынного запаха.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4.1.3. При ощущении в зерне навески, отобранной по </w:t>
      </w:r>
      <w:hyperlink w:anchor="P69" w:history="1">
        <w:r>
          <w:rPr>
            <w:color w:val="0000FF"/>
          </w:rPr>
          <w:t>п. 4.1.1</w:t>
        </w:r>
      </w:hyperlink>
      <w:r>
        <w:t xml:space="preserve">, слабо выраженного </w:t>
      </w:r>
      <w:r>
        <w:lastRenderedPageBreak/>
        <w:t xml:space="preserve">постороннего запаха, не свойственного нормальному зерну, для усиления этого запаха зерно навески прогревают способами, указанными в </w:t>
      </w:r>
      <w:hyperlink w:anchor="P7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4.1.3.1</w:t>
        </w:r>
      </w:hyperlink>
      <w:r>
        <w:t xml:space="preserve"> - </w:t>
      </w:r>
      <w:hyperlink w:anchor="P75" w:history="1">
        <w:r>
          <w:rPr>
            <w:color w:val="0000FF"/>
          </w:rPr>
          <w:t>4.1.3.3</w:t>
        </w:r>
      </w:hyperlink>
      <w:r>
        <w:t>.</w:t>
      </w:r>
    </w:p>
    <w:p w:rsidR="00DE6C06" w:rsidRDefault="00DE6C0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4.1.3.1. Зерно навески помещают на сито и в течение 2 - 3 мин пропаривают над сосудом с кипящей водой. Пропаренное зерно помещают на чистый лист бумаги и определяют наличие постороннего запаха.</w:t>
      </w:r>
    </w:p>
    <w:p w:rsidR="00DE6C06" w:rsidRDefault="00DE6C06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4.1.3.2. Зерно навески помещают в чистую коническую колбу со шлифом, плотно закрывают пробкой и выдерживают в течение 30 мин при температуре 35 - 40 °C, используя любой источник тепла. Затем, периодически открывая на короткое время колбу, определяют наличие постороннего запаха.</w:t>
      </w:r>
    </w:p>
    <w:p w:rsidR="00DE6C06" w:rsidRDefault="00DE6C06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4.1.3.3. Для усиления постороннего запаха зерно навески размалывают и наличие постороннего запаха определяют в размолотом зерне по </w:t>
      </w:r>
      <w:hyperlink w:anchor="P74" w:history="1">
        <w:r>
          <w:rPr>
            <w:color w:val="0000FF"/>
          </w:rPr>
          <w:t>п. 4.1.3.2</w:t>
        </w:r>
      </w:hyperlink>
      <w:r>
        <w:t>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4.1.4. В документе о качестве указывают, в целом или размолотом зерне определялся запах.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4.2. Определение цвета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4.2.1. Цвет зерна определяют визуально, сравнивая с описанием этого признака в стандартах на исследуемую культуру.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При разногласиях цвет определяют при рассеянном дневном свете.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4.2.2. Определение степени </w:t>
      </w:r>
      <w:proofErr w:type="spellStart"/>
      <w:r>
        <w:t>обесцвеченности</w:t>
      </w:r>
      <w:proofErr w:type="spellEnd"/>
      <w:r>
        <w:t xml:space="preserve"> зерна с использованием эталонов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Эталоны составляют в соответствии с требованиями, указанными в </w:t>
      </w:r>
      <w:hyperlink w:anchor="P131" w:history="1">
        <w:r>
          <w:rPr>
            <w:color w:val="0000FF"/>
          </w:rPr>
          <w:t>Приложении</w:t>
        </w:r>
      </w:hyperlink>
      <w:r>
        <w:t>.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center"/>
      </w:pPr>
      <w:r w:rsidRPr="00430A5D">
        <w:rPr>
          <w:position w:val="-159"/>
        </w:rPr>
        <w:pict>
          <v:shape id="_x0000_i1025" style="width:255.75pt;height:170.25pt" coordsize="" o:spt="100" adj="0,,0" path="" filled="f" stroked="f">
            <v:stroke joinstyle="miter"/>
            <v:imagedata r:id="rId9" o:title="base_32876_5654_32768"/>
            <v:formulas/>
            <v:path o:connecttype="segments"/>
          </v:shape>
        </w:pic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proofErr w:type="spellStart"/>
      <w:r>
        <w:t>Съемную</w:t>
      </w:r>
      <w:proofErr w:type="spellEnd"/>
      <w:r>
        <w:t xml:space="preserve"> чашку в центральной ячейке кассеты полностью заполняют зерном, отобранным из средней пробы, и визуально сравнивают с эталонами зерна, находящимися в </w:t>
      </w:r>
      <w:proofErr w:type="spellStart"/>
      <w:r>
        <w:t>четырех</w:t>
      </w:r>
      <w:proofErr w:type="spellEnd"/>
      <w:r>
        <w:t xml:space="preserve"> периферийных ячейках кассеты. Зерно сравнивают сначала с эталоном </w:t>
      </w:r>
      <w:proofErr w:type="spellStart"/>
      <w:r>
        <w:t>необесцвеченного</w:t>
      </w:r>
      <w:proofErr w:type="spellEnd"/>
      <w:r>
        <w:t xml:space="preserve"> зерна, затем с эталонами зерна первой, второй и третьей степеней </w:t>
      </w:r>
      <w:proofErr w:type="spellStart"/>
      <w:r>
        <w:t>обесцвеченности</w:t>
      </w:r>
      <w:proofErr w:type="spellEnd"/>
      <w:r>
        <w:t>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При сравнении зерна пробы с одним из эталонов три других эталона закрывают металлическим экраном.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Сравнение проводят визуально при рассеянном дневном свете или при освещении лампами накаливания с использованием </w:t>
      </w:r>
      <w:proofErr w:type="spellStart"/>
      <w:r>
        <w:t>рассеивателя</w:t>
      </w:r>
      <w:proofErr w:type="spellEnd"/>
      <w:r>
        <w:t>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По результатам сравнения зерну исследуемой пробы присваивают ту степень </w:t>
      </w:r>
      <w:proofErr w:type="spellStart"/>
      <w:r>
        <w:t>обесцвеченности</w:t>
      </w:r>
      <w:proofErr w:type="spellEnd"/>
      <w:r>
        <w:t>, которую имеет эталон зерна, наиболее близкий к нему по цвету.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lastRenderedPageBreak/>
        <w:t xml:space="preserve">4.2.3. Определение степени </w:t>
      </w:r>
      <w:proofErr w:type="spellStart"/>
      <w:r>
        <w:t>обесцвеченности</w:t>
      </w:r>
      <w:proofErr w:type="spellEnd"/>
      <w:r>
        <w:t xml:space="preserve"> по результатам разбора навески исследуемого зерна (контрольный метод)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Из средней пробы исследуемого зерна отбирают навеску массой (20,0 +/- 0,1) г., </w:t>
      </w:r>
      <w:proofErr w:type="spellStart"/>
      <w:r>
        <w:t>освобожденную</w:t>
      </w:r>
      <w:proofErr w:type="spellEnd"/>
      <w:r>
        <w:t xml:space="preserve"> от сорной и зерновой примесей, из которой выделяют зерна каждой стадии </w:t>
      </w:r>
      <w:proofErr w:type="spellStart"/>
      <w:r>
        <w:t>обесцвеченности</w:t>
      </w:r>
      <w:proofErr w:type="spellEnd"/>
      <w:r>
        <w:t xml:space="preserve"> и раздельно их взвешивают.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При этом к зерну I стадии </w:t>
      </w:r>
      <w:proofErr w:type="spellStart"/>
      <w:r>
        <w:t>обесцвеченности</w:t>
      </w:r>
      <w:proofErr w:type="spellEnd"/>
      <w:r>
        <w:t xml:space="preserve"> относят зерна с частичной потерей блеска и с обесцвечиванием в области спинки, к зерну II стадии </w:t>
      </w:r>
      <w:proofErr w:type="spellStart"/>
      <w:r>
        <w:t>обесцвеченности</w:t>
      </w:r>
      <w:proofErr w:type="spellEnd"/>
      <w:r>
        <w:t xml:space="preserve"> относят зерна с полной потерей блеска и с обесцвечиванием в области спинки и бочков, к зерну III стадии </w:t>
      </w:r>
      <w:proofErr w:type="spellStart"/>
      <w:r>
        <w:t>обесцвеченности</w:t>
      </w:r>
      <w:proofErr w:type="spellEnd"/>
      <w:r>
        <w:t xml:space="preserve"> относят зерна с обесцвечиванием всей поверхности зерна.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Содержание </w:t>
      </w:r>
      <w:proofErr w:type="spellStart"/>
      <w:r>
        <w:t>зерен</w:t>
      </w:r>
      <w:proofErr w:type="spellEnd"/>
      <w:r>
        <w:t xml:space="preserve"> каждой стадии обесцвечивания (X) в процентах вычисляют по формуле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center"/>
      </w:pPr>
      <w:r w:rsidRPr="00430A5D">
        <w:rPr>
          <w:position w:val="-23"/>
        </w:rPr>
        <w:pict>
          <v:shape id="_x0000_i1026" style="width:64.5pt;height:34.5pt" coordsize="" o:spt="100" adj="0,,0" path="" filled="f" stroked="f">
            <v:stroke joinstyle="miter"/>
            <v:imagedata r:id="rId10" o:title="base_32876_5654_32769"/>
            <v:formulas/>
            <v:path o:connecttype="segments"/>
          </v:shape>
        </w:pict>
      </w:r>
      <w:r>
        <w:t>,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r>
        <w:t xml:space="preserve">где m - масса </w:t>
      </w:r>
      <w:proofErr w:type="spellStart"/>
      <w:r>
        <w:t>зерен</w:t>
      </w:r>
      <w:proofErr w:type="spellEnd"/>
      <w:r>
        <w:t xml:space="preserve"> каждой стадии обесцвечивания, г;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>20 - масса навески, г.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Степень </w:t>
      </w:r>
      <w:proofErr w:type="spellStart"/>
      <w:r>
        <w:t>обесцвеченности</w:t>
      </w:r>
      <w:proofErr w:type="spellEnd"/>
      <w:r>
        <w:t xml:space="preserve"> зерна определяют в соответствии с требованиями, указанными в табл. 1.</w:t>
      </w:r>
    </w:p>
    <w:p w:rsidR="00DE6C06" w:rsidRDefault="00DE6C06">
      <w:pPr>
        <w:sectPr w:rsidR="00DE6C06">
          <w:pgSz w:w="11905" w:h="16838"/>
          <w:pgMar w:top="1134" w:right="850" w:bottom="1134" w:left="1701" w:header="0" w:footer="0" w:gutter="0"/>
          <w:cols w:space="720"/>
        </w:sectPr>
      </w:pP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right"/>
      </w:pPr>
      <w:r>
        <w:t>Таблица 1</w:t>
      </w:r>
    </w:p>
    <w:p w:rsidR="00DE6C06" w:rsidRDefault="00DE6C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2640"/>
        <w:gridCol w:w="2640"/>
        <w:gridCol w:w="2160"/>
      </w:tblGrid>
      <w:tr w:rsidR="00DE6C06">
        <w:tc>
          <w:tcPr>
            <w:tcW w:w="2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 xml:space="preserve">Степень </w:t>
            </w:r>
            <w:proofErr w:type="spellStart"/>
            <w:r>
              <w:t>обесцвеченности</w:t>
            </w:r>
            <w:proofErr w:type="spellEnd"/>
            <w:r>
              <w:t xml:space="preserve"> зерна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 xml:space="preserve">Содержание </w:t>
            </w:r>
            <w:proofErr w:type="spellStart"/>
            <w:r>
              <w:t>зерен</w:t>
            </w:r>
            <w:proofErr w:type="spellEnd"/>
            <w:r>
              <w:t xml:space="preserve">, %, не более по стадиям </w:t>
            </w:r>
            <w:proofErr w:type="spellStart"/>
            <w:r>
              <w:t>обесцвеченности</w:t>
            </w:r>
            <w:proofErr w:type="spellEnd"/>
          </w:p>
        </w:tc>
      </w:tr>
      <w:tr w:rsidR="00DE6C06"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C06" w:rsidRDefault="00DE6C06"/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II + III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в том числе III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Нормальное зерно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2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То же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15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Не ограничивается</w:t>
            </w: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16 и более</w:t>
            </w:r>
          </w:p>
        </w:tc>
      </w:tr>
    </w:tbl>
    <w:p w:rsidR="00DE6C06" w:rsidRDefault="00DE6C06">
      <w:pPr>
        <w:pStyle w:val="ConsPlusNormal"/>
        <w:jc w:val="both"/>
      </w:pP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right"/>
        <w:outlineLvl w:val="0"/>
      </w:pPr>
      <w:r>
        <w:t>Приложение</w:t>
      </w:r>
    </w:p>
    <w:p w:rsidR="00DE6C06" w:rsidRDefault="00DE6C06">
      <w:pPr>
        <w:pStyle w:val="ConsPlusNormal"/>
        <w:jc w:val="right"/>
      </w:pPr>
      <w:r>
        <w:t>Обязательное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center"/>
      </w:pPr>
      <w:bookmarkStart w:id="6" w:name="P131"/>
      <w:bookmarkEnd w:id="6"/>
      <w:r>
        <w:t>СОСТАВЛЕНИЕ ЭТАЛОНОВ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  <w:r>
        <w:t xml:space="preserve">1. Эталоны для определения степени </w:t>
      </w:r>
      <w:proofErr w:type="spellStart"/>
      <w:r>
        <w:t>обесцвеченности</w:t>
      </w:r>
      <w:proofErr w:type="spellEnd"/>
      <w:r>
        <w:t xml:space="preserve"> составляют отдельно для зерна мягкой и </w:t>
      </w:r>
      <w:proofErr w:type="spellStart"/>
      <w:r>
        <w:t>твердой</w:t>
      </w:r>
      <w:proofErr w:type="spellEnd"/>
      <w:r>
        <w:t xml:space="preserve"> пшеницы из средних проб зерна, выделенных, как указано в </w:t>
      </w:r>
      <w:hyperlink r:id="rId11" w:history="1">
        <w:r>
          <w:rPr>
            <w:color w:val="0000FF"/>
          </w:rPr>
          <w:t>ГОСТ 13586.3</w:t>
        </w:r>
      </w:hyperlink>
      <w:r>
        <w:t>, из среднесуточных проб или из первых автомобильных партий, или при предварительной оценке качества зерна урожая текущего года. При этом влажность зерна должна быть не более 15,0%.</w:t>
      </w:r>
    </w:p>
    <w:p w:rsidR="00DE6C06" w:rsidRDefault="00DE6C06">
      <w:pPr>
        <w:pStyle w:val="ConsPlusNormal"/>
        <w:spacing w:before="220"/>
        <w:ind w:firstLine="540"/>
        <w:jc w:val="both"/>
      </w:pPr>
      <w:r>
        <w:t xml:space="preserve">2. Из средней пробы зерна выбирают целые здоровые зерна I, II и III стадий </w:t>
      </w:r>
      <w:proofErr w:type="spellStart"/>
      <w:r>
        <w:t>обесцвеченности</w:t>
      </w:r>
      <w:proofErr w:type="spellEnd"/>
      <w:r>
        <w:t xml:space="preserve"> и </w:t>
      </w:r>
      <w:proofErr w:type="spellStart"/>
      <w:r>
        <w:t>необесцвеченные</w:t>
      </w:r>
      <w:proofErr w:type="spellEnd"/>
      <w:r>
        <w:t xml:space="preserve"> в количестве, необходимом для составления эталонов для каждой степени </w:t>
      </w:r>
      <w:proofErr w:type="spellStart"/>
      <w:r>
        <w:t>обесцвеченности</w:t>
      </w:r>
      <w:proofErr w:type="spellEnd"/>
      <w:r>
        <w:t>, указанном в табл. 2.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jc w:val="right"/>
      </w:pPr>
      <w:r>
        <w:t>Таблица 2</w:t>
      </w:r>
    </w:p>
    <w:p w:rsidR="00DE6C06" w:rsidRDefault="00DE6C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2520"/>
        <w:gridCol w:w="1440"/>
        <w:gridCol w:w="1560"/>
        <w:gridCol w:w="1560"/>
      </w:tblGrid>
      <w:tr w:rsidR="00DE6C06">
        <w:tc>
          <w:tcPr>
            <w:tcW w:w="2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 xml:space="preserve">Степень </w:t>
            </w:r>
            <w:proofErr w:type="spellStart"/>
            <w:r>
              <w:t>обесцвеченности</w:t>
            </w:r>
            <w:proofErr w:type="spellEnd"/>
            <w:r>
              <w:t xml:space="preserve"> </w:t>
            </w:r>
            <w:r>
              <w:lastRenderedPageBreak/>
              <w:t>зерна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lastRenderedPageBreak/>
              <w:t xml:space="preserve">Масса </w:t>
            </w:r>
            <w:proofErr w:type="spellStart"/>
            <w:r>
              <w:t>зерен</w:t>
            </w:r>
            <w:proofErr w:type="spellEnd"/>
            <w:r>
              <w:t xml:space="preserve"> по стадиям </w:t>
            </w:r>
            <w:proofErr w:type="spellStart"/>
            <w:r>
              <w:t>обесцвеченности</w:t>
            </w:r>
            <w:proofErr w:type="spellEnd"/>
            <w:r>
              <w:t>, г</w:t>
            </w:r>
          </w:p>
        </w:tc>
      </w:tr>
      <w:tr w:rsidR="00DE6C06"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6C06" w:rsidRDefault="00DE6C06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proofErr w:type="spellStart"/>
            <w:r>
              <w:t>Необесцвеченные</w:t>
            </w:r>
            <w:proofErr w:type="spellEnd"/>
            <w:r>
              <w:t xml:space="preserve"> зерна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III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lastRenderedPageBreak/>
              <w:t>Нормальное зерно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0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1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7</w:t>
            </w:r>
          </w:p>
        </w:tc>
      </w:tr>
      <w:tr w:rsidR="00DE6C06">
        <w:tblPrEx>
          <w:tblBorders>
            <w:insideH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DE6C06" w:rsidRDefault="00DE6C06">
            <w:pPr>
              <w:pStyle w:val="ConsPlusNormal"/>
              <w:jc w:val="center"/>
            </w:pPr>
            <w:r>
              <w:t>23</w:t>
            </w:r>
          </w:p>
        </w:tc>
      </w:tr>
    </w:tbl>
    <w:p w:rsidR="00DE6C06" w:rsidRDefault="00DE6C06">
      <w:pPr>
        <w:pStyle w:val="ConsPlusNormal"/>
        <w:jc w:val="both"/>
      </w:pPr>
    </w:p>
    <w:p w:rsidR="00DE6C06" w:rsidRDefault="00DE6C06">
      <w:pPr>
        <w:pStyle w:val="ConsPlusNormal"/>
        <w:ind w:firstLine="540"/>
        <w:jc w:val="both"/>
      </w:pPr>
      <w:r>
        <w:t xml:space="preserve">3. Зерно эталонов каждой степени </w:t>
      </w:r>
      <w:proofErr w:type="spellStart"/>
      <w:r>
        <w:t>обесцвеченности</w:t>
      </w:r>
      <w:proofErr w:type="spellEnd"/>
      <w:r>
        <w:t xml:space="preserve"> массой (50,0 +/- 0,1) г тщательно перемешивают, после чего заполняют им соответствующие ячейки кассеты.</w:t>
      </w: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ind w:firstLine="540"/>
        <w:jc w:val="both"/>
      </w:pPr>
    </w:p>
    <w:p w:rsidR="00DE6C06" w:rsidRDefault="00DE6C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C06" w:rsidRDefault="00DE6C0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2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E6C06" w:rsidRDefault="00DE6C06">
      <w:pPr>
        <w:spacing w:after="1" w:line="220" w:lineRule="atLeast"/>
        <w:jc w:val="both"/>
        <w:outlineLvl w:val="0"/>
      </w:pPr>
    </w:p>
    <w:p w:rsidR="00DE6C06" w:rsidRDefault="00DE6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ПОПРАВКА К ГОСТ 10967-90</w:t>
      </w:r>
    </w:p>
    <w:p w:rsidR="00DE6C06" w:rsidRDefault="00DE6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"ЗЕРНО. МЕТОДЫ ОПРЕДЕЛЕНИЯ ЗАПАХА И ЦВЕТА"</w:t>
      </w:r>
    </w:p>
    <w:p w:rsidR="00DE6C06" w:rsidRDefault="00DE6C06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3276"/>
        <w:gridCol w:w="3276"/>
      </w:tblGrid>
      <w:tr w:rsidR="00DE6C06">
        <w:tc>
          <w:tcPr>
            <w:tcW w:w="3276" w:type="dxa"/>
          </w:tcPr>
          <w:p w:rsidR="00DE6C06" w:rsidRDefault="00DE6C0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каком месте</w:t>
            </w:r>
          </w:p>
        </w:tc>
        <w:tc>
          <w:tcPr>
            <w:tcW w:w="3276" w:type="dxa"/>
          </w:tcPr>
          <w:p w:rsidR="00DE6C06" w:rsidRDefault="00DE6C0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Напечатано</w:t>
            </w:r>
          </w:p>
        </w:tc>
        <w:tc>
          <w:tcPr>
            <w:tcW w:w="3276" w:type="dxa"/>
          </w:tcPr>
          <w:p w:rsidR="00DE6C06" w:rsidRDefault="00DE6C06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Должно быть</w:t>
            </w:r>
          </w:p>
        </w:tc>
      </w:tr>
      <w:tr w:rsidR="00DE6C06">
        <w:tc>
          <w:tcPr>
            <w:tcW w:w="3276" w:type="dxa"/>
          </w:tcPr>
          <w:p w:rsidR="00DE6C06" w:rsidRDefault="00DE6C06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Пункт 4.2.3.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Первый абзац</w:t>
              </w:r>
            </w:hyperlink>
          </w:p>
        </w:tc>
        <w:tc>
          <w:tcPr>
            <w:tcW w:w="3276" w:type="dxa"/>
          </w:tcPr>
          <w:p w:rsidR="00DE6C06" w:rsidRDefault="00DE6C0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навеску массой (20,0 +/- 0,1) г</w:t>
            </w:r>
          </w:p>
        </w:tc>
        <w:tc>
          <w:tcPr>
            <w:tcW w:w="3276" w:type="dxa"/>
          </w:tcPr>
          <w:p w:rsidR="00DE6C06" w:rsidRDefault="00DE6C0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навеску массой (20,0 +/-  0,1) г, </w:t>
            </w:r>
            <w:proofErr w:type="spellStart"/>
            <w:r>
              <w:rPr>
                <w:rFonts w:ascii="Calibri" w:hAnsi="Calibri" w:cs="Calibri"/>
              </w:rPr>
              <w:t>освобожденную</w:t>
            </w:r>
            <w:proofErr w:type="spellEnd"/>
            <w:r>
              <w:rPr>
                <w:rFonts w:ascii="Calibri" w:hAnsi="Calibri" w:cs="Calibri"/>
              </w:rPr>
              <w:t xml:space="preserve"> от сорной и зерновой примесей</w:t>
            </w:r>
          </w:p>
        </w:tc>
      </w:tr>
    </w:tbl>
    <w:p w:rsidR="00DE6C06" w:rsidRDefault="00DE6C06">
      <w:pPr>
        <w:spacing w:after="1" w:line="220" w:lineRule="atLeast"/>
        <w:ind w:firstLine="540"/>
        <w:jc w:val="both"/>
      </w:pPr>
    </w:p>
    <w:p w:rsidR="00DE6C06" w:rsidRDefault="00DE6C06">
      <w:pPr>
        <w:spacing w:after="1" w:line="220" w:lineRule="atLeast"/>
        <w:ind w:firstLine="540"/>
        <w:jc w:val="both"/>
      </w:pPr>
    </w:p>
    <w:p w:rsidR="00DE6C06" w:rsidRDefault="00DE6C0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D3" w:rsidRDefault="002E4FD3">
      <w:bookmarkStart w:id="7" w:name="_GoBack"/>
      <w:bookmarkEnd w:id="7"/>
    </w:p>
    <w:sectPr w:rsidR="002E4FD3" w:rsidSect="00430A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06"/>
    <w:rsid w:val="002E4FD3"/>
    <w:rsid w:val="00D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23B9-B8A0-44FF-B7F6-8CF3593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F0AC6272EF00FF577A4E60F01272F5E90D4B3560EEF69437E6x5b8G" TargetMode="External"/><Relationship Id="rId13" Type="http://schemas.openxmlformats.org/officeDocument/2006/relationships/hyperlink" Target="consultantplus://offline/ref=A84ACE09757401F81812504670B7062AD000ADCA2506A9C831A8B7E0E8B09C7246FB446434F1D7c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3F0AC6272EF00FF57664E7CF01272F9EF0140686AE6AF9835xEb1G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3F0AC6272EF00FF577A4E60F01272F5E90D4B3560EEF69437E6x5b8G" TargetMode="External"/><Relationship Id="rId11" Type="http://schemas.openxmlformats.org/officeDocument/2006/relationships/hyperlink" Target="consultantplus://offline/ref=9F43F0AC6272EF00FF57664E7CF01272F9EF0140686AE6AF9835xEb1G" TargetMode="External"/><Relationship Id="rId5" Type="http://schemas.openxmlformats.org/officeDocument/2006/relationships/hyperlink" Target="consultantplus://offline/ref=9F43F0AC6272EF00FF57664E7CF01272F9EF0140686AE6AF9835xEb1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Евгения Геннадьевна</dc:creator>
  <cp:keywords/>
  <dc:description/>
  <cp:lastModifiedBy>Середина Евгения Геннадьевна</cp:lastModifiedBy>
  <cp:revision>1</cp:revision>
  <dcterms:created xsi:type="dcterms:W3CDTF">2018-07-31T06:27:00Z</dcterms:created>
  <dcterms:modified xsi:type="dcterms:W3CDTF">2018-07-31T06:28:00Z</dcterms:modified>
</cp:coreProperties>
</file>